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3AFF6" w14:textId="5627EA4B" w:rsidR="0040390C" w:rsidRPr="0040390C" w:rsidRDefault="00972E8A" w:rsidP="0040390C">
      <w:pPr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 xml:space="preserve">Cleveland Pump Repair: </w:t>
      </w:r>
      <w:r w:rsidR="007377FA">
        <w:rPr>
          <w:rFonts w:ascii="Garamond" w:hAnsi="Garamond"/>
          <w:b/>
          <w:bCs/>
          <w:sz w:val="40"/>
          <w:szCs w:val="40"/>
        </w:rPr>
        <w:t>Customer Portfolio</w:t>
      </w:r>
    </w:p>
    <w:p w14:paraId="31D6440A" w14:textId="213E8061" w:rsidR="007377FA" w:rsidRPr="007377FA" w:rsidRDefault="007377FA" w:rsidP="007377FA">
      <w:pPr>
        <w:rPr>
          <w:rFonts w:ascii="Garamond" w:hAnsi="Garamond"/>
          <w:sz w:val="26"/>
          <w:szCs w:val="26"/>
        </w:rPr>
      </w:pPr>
      <w:r w:rsidRPr="007377FA">
        <w:rPr>
          <w:rFonts w:ascii="Garamond" w:hAnsi="Garamond"/>
          <w:sz w:val="26"/>
          <w:szCs w:val="26"/>
        </w:rPr>
        <w:t xml:space="preserve">"Without Cleveland Pump Repairs prompt repair of our </w:t>
      </w:r>
      <w:r w:rsidRPr="007377FA">
        <w:rPr>
          <w:rFonts w:ascii="Garamond" w:hAnsi="Garamond"/>
          <w:sz w:val="26"/>
          <w:szCs w:val="26"/>
        </w:rPr>
        <w:t>worn-out</w:t>
      </w:r>
      <w:r w:rsidRPr="007377FA">
        <w:rPr>
          <w:rFonts w:ascii="Garamond" w:hAnsi="Garamond"/>
          <w:sz w:val="26"/>
          <w:szCs w:val="26"/>
        </w:rPr>
        <w:t xml:space="preserve"> Worthington 2WT-87 boiler feed water pumps our refinery would </w:t>
      </w:r>
      <w:r w:rsidRPr="007377FA">
        <w:rPr>
          <w:rFonts w:ascii="Garamond" w:hAnsi="Garamond"/>
          <w:sz w:val="26"/>
          <w:szCs w:val="26"/>
        </w:rPr>
        <w:t>not have</w:t>
      </w:r>
      <w:r w:rsidRPr="007377FA">
        <w:rPr>
          <w:rFonts w:ascii="Garamond" w:hAnsi="Garamond"/>
          <w:sz w:val="26"/>
          <w:szCs w:val="26"/>
        </w:rPr>
        <w:t xml:space="preserve"> been able to run at </w:t>
      </w:r>
      <w:r w:rsidRPr="007377FA">
        <w:rPr>
          <w:rFonts w:ascii="Garamond" w:hAnsi="Garamond"/>
          <w:sz w:val="26"/>
          <w:szCs w:val="26"/>
        </w:rPr>
        <w:t>the required</w:t>
      </w:r>
      <w:r w:rsidRPr="007377FA">
        <w:rPr>
          <w:rFonts w:ascii="Garamond" w:hAnsi="Garamond"/>
          <w:sz w:val="26"/>
          <w:szCs w:val="26"/>
        </w:rPr>
        <w:t xml:space="preserve"> capacity. In the summer and fall of 2009 their successful rebuild of two of these pumps </w:t>
      </w:r>
      <w:r w:rsidRPr="007377FA">
        <w:rPr>
          <w:rFonts w:ascii="Garamond" w:hAnsi="Garamond"/>
          <w:sz w:val="26"/>
          <w:szCs w:val="26"/>
        </w:rPr>
        <w:t>allowed</w:t>
      </w:r>
      <w:r w:rsidRPr="007377FA">
        <w:rPr>
          <w:rFonts w:ascii="Garamond" w:hAnsi="Garamond"/>
          <w:sz w:val="26"/>
          <w:szCs w:val="26"/>
        </w:rPr>
        <w:t xml:space="preserve"> us to run through the winter months and meet the high 600 psig steam demand."</w:t>
      </w:r>
    </w:p>
    <w:p w14:paraId="03FCF74C" w14:textId="77777777" w:rsidR="007377FA" w:rsidRPr="007377FA" w:rsidRDefault="007377FA" w:rsidP="007377FA">
      <w:pPr>
        <w:rPr>
          <w:rFonts w:ascii="Garamond" w:hAnsi="Garamond"/>
          <w:sz w:val="26"/>
          <w:szCs w:val="26"/>
        </w:rPr>
      </w:pPr>
      <w:r w:rsidRPr="007377FA">
        <w:rPr>
          <w:rFonts w:ascii="Garamond" w:hAnsi="Garamond"/>
          <w:sz w:val="26"/>
          <w:szCs w:val="26"/>
        </w:rPr>
        <w:t>John Eschrich,</w:t>
      </w:r>
      <w:r w:rsidRPr="007377FA">
        <w:rPr>
          <w:rFonts w:ascii="Garamond" w:hAnsi="Garamond"/>
          <w:sz w:val="26"/>
          <w:szCs w:val="26"/>
        </w:rPr>
        <w:br/>
        <w:t>Senior Maintenance Engineer</w:t>
      </w:r>
      <w:r w:rsidRPr="007377FA">
        <w:rPr>
          <w:rFonts w:ascii="Garamond" w:hAnsi="Garamond"/>
          <w:sz w:val="26"/>
          <w:szCs w:val="26"/>
        </w:rPr>
        <w:br/>
        <w:t>American Refining Group, Inc.</w:t>
      </w:r>
      <w:r w:rsidRPr="007377FA">
        <w:rPr>
          <w:rFonts w:ascii="Garamond" w:hAnsi="Garamond"/>
          <w:sz w:val="26"/>
          <w:szCs w:val="26"/>
        </w:rPr>
        <w:br/>
        <w:t>http://amref.com/</w:t>
      </w:r>
    </w:p>
    <w:p w14:paraId="1AA7D2E9" w14:textId="29108FCE" w:rsidR="007377FA" w:rsidRPr="007377FA" w:rsidRDefault="007377FA" w:rsidP="007377FA">
      <w:pPr>
        <w:rPr>
          <w:rFonts w:ascii="Garamond" w:hAnsi="Garamond"/>
          <w:sz w:val="28"/>
          <w:szCs w:val="28"/>
        </w:rPr>
      </w:pPr>
      <w:r w:rsidRPr="007377FA">
        <w:rPr>
          <w:rFonts w:ascii="Garamond" w:hAnsi="Garamond"/>
          <w:sz w:val="28"/>
          <w:szCs w:val="28"/>
        </w:rPr>
        <w:t>Cleveland Pump Repair provides service to many Utility, Steel, Pulp &amp; Paper, Municipal and General Industry accounts such as the following:</w:t>
      </w:r>
      <w:r w:rsidRPr="007377FA">
        <w:rPr>
          <w:rFonts w:ascii="Garamond" w:hAnsi="Garamond"/>
          <w:sz w:val="28"/>
          <w:szCs w:val="28"/>
        </w:rPr>
        <w:br/>
      </w:r>
    </w:p>
    <w:tbl>
      <w:tblPr>
        <w:tblW w:w="675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9"/>
        <w:gridCol w:w="3379"/>
      </w:tblGrid>
      <w:tr w:rsidR="007377FA" w:rsidRPr="007377FA" w14:paraId="4BFEF843" w14:textId="77777777" w:rsidTr="007377FA">
        <w:trPr>
          <w:trHeight w:val="467"/>
          <w:jc w:val="center"/>
        </w:trPr>
        <w:tc>
          <w:tcPr>
            <w:tcW w:w="33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3063E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AK Steel</w:t>
            </w:r>
          </w:p>
        </w:tc>
        <w:tc>
          <w:tcPr>
            <w:tcW w:w="33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34AF3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Alcoa Generating Corporation</w:t>
            </w:r>
          </w:p>
        </w:tc>
      </w:tr>
      <w:tr w:rsidR="007377FA" w:rsidRPr="007377FA" w14:paraId="183AAE19" w14:textId="77777777" w:rsidTr="007377FA">
        <w:trPr>
          <w:trHeight w:val="467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6EDB9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Allegheny Energy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A7B58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American Electric Power</w:t>
            </w:r>
          </w:p>
        </w:tc>
      </w:tr>
      <w:tr w:rsidR="007377FA" w:rsidRPr="007377FA" w14:paraId="5EB0C2A5" w14:textId="77777777" w:rsidTr="007377FA">
        <w:trPr>
          <w:trHeight w:val="467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5A15E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American Refinery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C540A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Alliant Energy</w:t>
            </w:r>
          </w:p>
        </w:tc>
      </w:tr>
      <w:tr w:rsidR="007377FA" w:rsidRPr="007377FA" w14:paraId="76AAEE5F" w14:textId="77777777" w:rsidTr="007377FA">
        <w:trPr>
          <w:trHeight w:val="467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82AEE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AMP-Ohio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3B106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ArcelorMittal</w:t>
            </w:r>
          </w:p>
        </w:tc>
      </w:tr>
      <w:tr w:rsidR="007377FA" w:rsidRPr="007377FA" w14:paraId="7BE621A2" w14:textId="77777777" w:rsidTr="007377FA">
        <w:trPr>
          <w:trHeight w:val="467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79F63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Calgon Carbon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A4997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City of Detroit</w:t>
            </w:r>
          </w:p>
        </w:tc>
      </w:tr>
      <w:tr w:rsidR="007377FA" w:rsidRPr="007377FA" w14:paraId="5F3115CD" w14:textId="77777777" w:rsidTr="007377FA">
        <w:trPr>
          <w:trHeight w:val="462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546C0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City of Orrville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81A2D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Covanta Energy</w:t>
            </w:r>
          </w:p>
        </w:tc>
      </w:tr>
      <w:tr w:rsidR="007377FA" w:rsidRPr="007377FA" w14:paraId="26DC7DF8" w14:textId="77777777" w:rsidTr="007377FA">
        <w:trPr>
          <w:trHeight w:val="467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E3110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Dayton Power &amp; Light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D199E" w14:textId="77777777" w:rsidR="007377FA" w:rsidRPr="007377FA" w:rsidRDefault="007377FA" w:rsidP="007377FA">
            <w:pPr>
              <w:rPr>
                <w:rFonts w:ascii="Garamond" w:hAnsi="Garamond"/>
              </w:rPr>
            </w:pPr>
            <w:proofErr w:type="spellStart"/>
            <w:r w:rsidRPr="007377FA">
              <w:rPr>
                <w:rFonts w:ascii="Garamond" w:hAnsi="Garamond"/>
              </w:rPr>
              <w:t>Duferco</w:t>
            </w:r>
            <w:proofErr w:type="spellEnd"/>
            <w:r w:rsidRPr="007377FA">
              <w:rPr>
                <w:rFonts w:ascii="Garamond" w:hAnsi="Garamond"/>
              </w:rPr>
              <w:t xml:space="preserve"> Farrell Corporation</w:t>
            </w:r>
          </w:p>
        </w:tc>
      </w:tr>
      <w:tr w:rsidR="007377FA" w:rsidRPr="007377FA" w14:paraId="60645EF2" w14:textId="77777777" w:rsidTr="007377FA">
        <w:trPr>
          <w:trHeight w:val="467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95614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Duke Energy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825F0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First Energy</w:t>
            </w:r>
          </w:p>
        </w:tc>
      </w:tr>
      <w:tr w:rsidR="007377FA" w:rsidRPr="007377FA" w14:paraId="32D455E6" w14:textId="77777777" w:rsidTr="007377FA">
        <w:trPr>
          <w:trHeight w:val="467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B6660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Fluor Global Services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3190A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Indianapolis Power &amp; Light</w:t>
            </w:r>
          </w:p>
        </w:tc>
      </w:tr>
      <w:tr w:rsidR="007377FA" w:rsidRPr="007377FA" w14:paraId="4A962975" w14:textId="77777777" w:rsidTr="007377FA">
        <w:trPr>
          <w:trHeight w:val="467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0140D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International Waxes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DF2BE" w14:textId="77777777" w:rsidR="007377FA" w:rsidRPr="007377FA" w:rsidRDefault="007377FA" w:rsidP="007377FA">
            <w:pPr>
              <w:rPr>
                <w:rFonts w:ascii="Garamond" w:hAnsi="Garamond"/>
              </w:rPr>
            </w:pPr>
            <w:proofErr w:type="spellStart"/>
            <w:r w:rsidRPr="007377FA">
              <w:rPr>
                <w:rFonts w:ascii="Garamond" w:hAnsi="Garamond"/>
              </w:rPr>
              <w:t>Ipsco</w:t>
            </w:r>
            <w:proofErr w:type="spellEnd"/>
            <w:r w:rsidRPr="007377FA">
              <w:rPr>
                <w:rFonts w:ascii="Garamond" w:hAnsi="Garamond"/>
              </w:rPr>
              <w:t xml:space="preserve"> Koppel Steel</w:t>
            </w:r>
          </w:p>
        </w:tc>
      </w:tr>
      <w:tr w:rsidR="007377FA" w:rsidRPr="007377FA" w14:paraId="5A9AEF8C" w14:textId="77777777" w:rsidTr="007377FA">
        <w:trPr>
          <w:trHeight w:val="467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13D73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Kentucky Utilities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F5DB5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Louisville Gas &amp; Electric</w:t>
            </w:r>
          </w:p>
        </w:tc>
      </w:tr>
      <w:tr w:rsidR="007377FA" w:rsidRPr="007377FA" w14:paraId="2FA42C1F" w14:textId="77777777" w:rsidTr="007377FA">
        <w:trPr>
          <w:trHeight w:val="467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4C560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Michigan Milk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49C7C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Mittal Steel</w:t>
            </w:r>
          </w:p>
        </w:tc>
      </w:tr>
      <w:tr w:rsidR="007377FA" w:rsidRPr="007377FA" w14:paraId="3D0C28AC" w14:textId="77777777" w:rsidTr="007377FA">
        <w:trPr>
          <w:trHeight w:val="467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D6A64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Vectren Corporation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762F4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New Page Paper Company</w:t>
            </w:r>
          </w:p>
        </w:tc>
      </w:tr>
      <w:tr w:rsidR="007377FA" w:rsidRPr="007377FA" w14:paraId="75D28FB8" w14:textId="77777777" w:rsidTr="007377FA">
        <w:trPr>
          <w:trHeight w:val="467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1160B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North American Energy Services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76961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NRG</w:t>
            </w:r>
          </w:p>
        </w:tc>
      </w:tr>
      <w:tr w:rsidR="007377FA" w:rsidRPr="007377FA" w14:paraId="74C6C26E" w14:textId="77777777" w:rsidTr="007377FA">
        <w:trPr>
          <w:trHeight w:val="467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06BD3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Ontario Power &amp; Generation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5395F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Reliant Energy</w:t>
            </w:r>
          </w:p>
        </w:tc>
      </w:tr>
      <w:tr w:rsidR="007377FA" w:rsidRPr="007377FA" w14:paraId="37A51C1A" w14:textId="77777777" w:rsidTr="007377FA">
        <w:trPr>
          <w:trHeight w:val="467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DFCC3" w14:textId="77777777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Smurfit Stone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66FA1" w14:textId="1D2AD69F" w:rsidR="007377FA" w:rsidRPr="007377FA" w:rsidRDefault="007377FA" w:rsidP="007377FA">
            <w:pPr>
              <w:rPr>
                <w:rFonts w:ascii="Garamond" w:hAnsi="Garamond"/>
              </w:rPr>
            </w:pPr>
            <w:r w:rsidRPr="007377FA">
              <w:rPr>
                <w:rFonts w:ascii="Garamond" w:hAnsi="Garamond"/>
              </w:rPr>
              <w:t>US Steel</w:t>
            </w:r>
          </w:p>
        </w:tc>
      </w:tr>
    </w:tbl>
    <w:p w14:paraId="51DD1E40" w14:textId="338E3801" w:rsidR="007E5D6C" w:rsidRPr="0040390C" w:rsidRDefault="007E5D6C" w:rsidP="007377FA"/>
    <w:sectPr w:rsidR="007E5D6C" w:rsidRPr="00403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629A"/>
    <w:multiLevelType w:val="multilevel"/>
    <w:tmpl w:val="D4F6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B4B2B"/>
    <w:multiLevelType w:val="multilevel"/>
    <w:tmpl w:val="F53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A5F87"/>
    <w:multiLevelType w:val="multilevel"/>
    <w:tmpl w:val="EE16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05A0A"/>
    <w:multiLevelType w:val="multilevel"/>
    <w:tmpl w:val="055C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30DCE"/>
    <w:multiLevelType w:val="multilevel"/>
    <w:tmpl w:val="97BE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961606">
    <w:abstractNumId w:val="4"/>
  </w:num>
  <w:num w:numId="2" w16cid:durableId="1622802907">
    <w:abstractNumId w:val="1"/>
  </w:num>
  <w:num w:numId="3" w16cid:durableId="914778218">
    <w:abstractNumId w:val="3"/>
  </w:num>
  <w:num w:numId="4" w16cid:durableId="1433941892">
    <w:abstractNumId w:val="0"/>
  </w:num>
  <w:num w:numId="5" w16cid:durableId="1106196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6C"/>
    <w:rsid w:val="0040390C"/>
    <w:rsid w:val="007377FA"/>
    <w:rsid w:val="007E5D6C"/>
    <w:rsid w:val="00972E8A"/>
    <w:rsid w:val="00D52D2E"/>
    <w:rsid w:val="00F9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D1A0"/>
  <w15:chartTrackingRefBased/>
  <w15:docId w15:val="{1F523FD3-3636-48B4-8D9E-CBA79219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D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D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D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FE258-A656-48C0-99B7-6CFE3F4F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Chen</dc:creator>
  <cp:keywords/>
  <dc:description/>
  <cp:lastModifiedBy>Patrick Chen</cp:lastModifiedBy>
  <cp:revision>2</cp:revision>
  <cp:lastPrinted>2024-11-30T22:11:00Z</cp:lastPrinted>
  <dcterms:created xsi:type="dcterms:W3CDTF">2024-11-30T22:14:00Z</dcterms:created>
  <dcterms:modified xsi:type="dcterms:W3CDTF">2024-11-30T22:14:00Z</dcterms:modified>
</cp:coreProperties>
</file>